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转让给期刊编辑部，并就有关问题明确如下：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yellow"/>
          <w:lang w:val="en-US" w:eastAsia="zh-CN"/>
        </w:rPr>
      </w:pPr>
      <w:r>
        <w:rPr>
          <w:rFonts w:hint="eastAsia" w:ascii="宋体" w:hAnsi="宋体" w:cs="宋体"/>
          <w:sz w:val="24"/>
          <w:highlight w:val="yellow"/>
          <w:lang w:val="en-US" w:eastAsia="zh-CN"/>
        </w:rPr>
        <w:t>转让费用：转让费按照期刊编辑部相关稿酬标准支付。</w:t>
      </w:r>
      <w:bookmarkStart w:id="0" w:name="_GoBack"/>
      <w:bookmarkEnd w:id="0"/>
    </w:p>
    <w:p>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zNTI4ZWVjOWQ0ZWFiMDJiMjIzODI4ODg2ZDliNDcifQ=="/>
  </w:docVars>
  <w:rsids>
    <w:rsidRoot w:val="73D71738"/>
    <w:rsid w:val="05A038C6"/>
    <w:rsid w:val="5F025802"/>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Administrator</cp:lastModifiedBy>
  <dcterms:modified xsi:type="dcterms:W3CDTF">2023-11-16T03:38:22Z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4F59E6EA09FF4C1DBE9690622310D299_12</vt:lpwstr>
  </property>
</Properties>
</file>